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A90A96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5E53EB" w:rsidRDefault="005D323C" w:rsidP="00E9635B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r w:rsidR="00702FF8" w:rsidRPr="00702FF8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 w:rsidR="00702FF8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համայնքի թվով </w:t>
            </w:r>
            <w:r w:rsidR="00E9635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1</w:t>
            </w: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բազմաբնակարան շենքերի էնե</w:t>
            </w:r>
            <w:r w:rsidR="005E53EB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րգաարդյունավետության արդիականաց</w:t>
            </w:r>
            <w:r w:rsidR="005E53E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A90A96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A90A96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A90A96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լուսավորության համակարգի </w:t>
            </w: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FF5878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323C" w:rsidRPr="005D323C" w:rsidRDefault="005D323C" w:rsidP="005D323C">
            <w:pPr>
              <w:spacing w:before="100" w:beforeAutospacing="1" w:after="100" w:afterAutospacing="1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տեսվում է Գյումրի քաղաքում թվով երկու բազմաբնակարան շենքերում իրականացնել էներգախնայողության ծրագիր:</w:t>
            </w:r>
          </w:p>
          <w:p w:rsidR="00596C61" w:rsidRPr="00596C61" w:rsidRDefault="005D323C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Ընտր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ված շենքերն են` 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Պ.Սևակ 2 շ.</w:t>
            </w:r>
          </w:p>
          <w:p w:rsidR="0008454D" w:rsidRPr="005D323C" w:rsidRDefault="005D323C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իրականացման արդյունքում բնակարանների ջեռուցման նպատակով սպառվող էլեկտրաէներգիայի գազի ծախսերը կկրճատվեն 30-60%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ով, բնակարանների շուկայական գինը կավելանա 10-20%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ով: Շենքերում բնակարանների ընդհանուր թիվը կա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զ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մում է 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84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բնակարան, որոնցից բնակեցված է 1</w:t>
            </w:r>
            <w:r w:rsidR="00596C6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4-ը, բնակիչների ընդհանուր թիվ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ը կազմում է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254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անձ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 Բոլոր շենքերը կառուցվել կամ ամրացվել են երկրաշարժից հետո` ունեն մոնոլիտային կառուցվածք: Ծրագրի հաստատման դեպքում շենքերը սպասարկող համատիրությունների հետ կստորագրվի փոխգործակծության հուշագիր, որով համատիրությունները կպարտավորվեն մասամբ մասնակցել  ծրագրի ֆինանսավորմանը 5%-ը: Նախատեսվող էներգախնայողության  միջոցառումներն են` շենքերի արտաքին պատերի ջերմամեկուսացում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՝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փրփրապոլիստիրոլով (ESP) իսկ բացվածքների եզրամասերում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՝ հանքային բամբակով,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շենքերի տանիքի ջերմամեկուսացում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պրոֆ</w:t>
            </w:r>
            <w:r w:rsidR="0008454D">
              <w:rPr>
                <w:rFonts w:ascii="Cambria Math" w:eastAsia="Times New Roman" w:hAnsi="Cambria Math"/>
                <w:i/>
                <w:sz w:val="21"/>
                <w:szCs w:val="21"/>
                <w:lang w:val="hy-AM"/>
              </w:rPr>
              <w:t xml:space="preserve">․ 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ցինկապատով թիթեղապատում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ձեռնալուսամուտի տեղադրում, ջրատար խողովակների փոխարինում,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ընդհանուր տարածքներում նոր էներգաարդյունավետ դռների և պատուհանների տեղադրում, էներգաարդյունավետ լու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սավորության համակարգի տեղադրում, 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>շքամուտքերի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և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միջանցքների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վերանորոգում,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>րտաքին պատերը իրականացնել դեկորատիվ գունավոր սվաղաներկ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ում և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բազալտե սալիկներով որմնախարիսխ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ում։</w:t>
            </w:r>
          </w:p>
          <w:p w:rsidR="003128F4" w:rsidRPr="00C53D11" w:rsidRDefault="003128F4" w:rsidP="003128F4">
            <w:pPr>
              <w:spacing w:after="0" w:line="240" w:lineRule="auto"/>
              <w:ind w:right="144"/>
              <w:jc w:val="both"/>
              <w:rPr>
                <w:rFonts w:ascii="Cambria Math" w:eastAsia="Times New Roman" w:hAnsi="Cambria Math" w:cs="Times New Roman"/>
                <w:i/>
                <w:iCs/>
                <w:sz w:val="21"/>
                <w:szCs w:val="21"/>
                <w:lang w:val="hy-AM"/>
              </w:rPr>
            </w:pPr>
          </w:p>
        </w:tc>
      </w:tr>
      <w:tr w:rsidR="00945157" w:rsidRPr="005D323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124" w:rsidRDefault="00D32124" w:rsidP="00D32124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ակնկալվող արդյունքներն են․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Ջեռուցման նպատակով սպառվող էլեկտրաէներգիայի և գազի ծախսի 30-60% կրճատում: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Բնակարանների շուկայական արժեքի 10-20% բարձրացում: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Շենքի արտաքին տեսքի և ընդհանուր տարածքների,այդ թվում տանիքի ամբողջական բարեկարգում: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Բազմաբնակարան բնակֆոնդի պատշաճ պահպանում և կառավարման, հետագա պահպնման խնդիրների բարելավում:</w:t>
            </w:r>
          </w:p>
          <w:p w:rsid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Պետական և դոնոր կազմակերպությունների ֆինանսական մ</w:t>
            </w:r>
            <w:r w:rsidR="00FF58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</w:t>
            </w: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ջոց</w:t>
            </w:r>
            <w:r w:rsidR="00891EA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ն</w:t>
            </w: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երի ներգրավում համայնքում իրականացվող ծր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ագրերին</w:t>
            </w:r>
          </w:p>
          <w:p w:rsidR="00487535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Տուրիստական գրավչության աստիճանի բարձրացում:</w:t>
            </w:r>
          </w:p>
        </w:tc>
      </w:tr>
      <w:tr w:rsidR="00945157" w:rsidRPr="00FF5878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54D" w:rsidRPr="000267D9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նախահաշվային փաստաթղթեր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կազմում։</w:t>
            </w:r>
          </w:p>
          <w:p w:rsidR="0008454D" w:rsidRPr="00487535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ախագծանախահաշվային փաստաթղթեր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փորձաքննության անցկացում։</w:t>
            </w:r>
          </w:p>
          <w:p w:rsidR="0008454D" w:rsidRPr="00487535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Օ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րենքով սահմանված կարգով մրցույթ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կ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ազմակերպ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08454D" w:rsidRPr="00054D47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Մրցույթի արդյունքների ամփոփում, </w:t>
            </w:r>
            <w:r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մրցույթում հաղթող կապալառու կազմակերպության հետ պայմանագրի կնքում, ինչպես նաև </w:t>
            </w:r>
            <w:r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տեխնիկական և հեղինակային հսկողություն իրականացնող կազմակերպությունների հետ պայմանագրերի կնքում։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աշխատանքների կազմակերպում։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շխատանքների ընթացքի և որակի համապատասխանության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պարբերաբար ստուգում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Ըստ անհրաժեշտության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՝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կապալառու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կողմից իր միջոցների հաշվին,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տեխնիկական հետազոտություններ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ու փորձարկումներ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իրականացում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Ֆ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ինանսական ներդրման համայնքային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մասնաբաժնի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համաֆինանսավորում։</w:t>
            </w:r>
          </w:p>
          <w:p w:rsidR="00945157" w:rsidRPr="00487535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հանձնում-ընդունում և շինարարական օբյեկտների ավարտական ակտ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(շահագործման թույլտվություն)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ձ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ևակերպում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FF5878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487535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արդյունքում համայնքին սեփականության իրավունքով պատկանող հիմնական միջոցների արժեքի ավելացում չի նախատեսվում:</w:t>
            </w:r>
          </w:p>
        </w:tc>
      </w:tr>
      <w:tr w:rsidR="006748DC" w:rsidRPr="00A90A96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46489C" w:rsidRDefault="0008454D" w:rsidP="0008454D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շահառուներն են՝ </w:t>
            </w:r>
            <w:r w:rsidR="00596C6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8</w:t>
            </w:r>
            <w:r w:rsidR="006748DC"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4 բնակարաններում բնակվող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254</w:t>
            </w:r>
            <w:r w:rsidR="006748DC"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բնակիչ: Բոլոր բնակիչները ստանալու են ուղղակի օգուտ ծրագրի իրականացումից: 30-60%-ով նվազելու է բնակարանների ջեռուցման ծախսը, 10-20%- ով ավելանալու է բնակարանների շուկայական արժեքը, բարելավվելու է բնակարանների հարմարավետությունը ու շենքի արտաքին տեսքը: Համայնքի մյուս բազմաբնակարան շենքերի բնակիչների ու համատիրությունների համար ծրագրի իրականացումը դառնալու է օրինակ խթանելով հետագայում նմանատիպ միջոցառումների իրականացումը  հենց համատիրությունների նախաձեռնեւթյամբ:</w:t>
            </w:r>
          </w:p>
        </w:tc>
      </w:tr>
      <w:tr w:rsidR="006748DC" w:rsidRPr="00A90A96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A90A96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A90A96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</w:t>
                  </w: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lastRenderedPageBreak/>
                    <w:t>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lastRenderedPageBreak/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lastRenderedPageBreak/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A90A96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 xml:space="preserve"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lastRenderedPageBreak/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Համայնքի վարչական բյուջեի </w:t>
                  </w: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>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lastRenderedPageBreak/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A90A96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ծառայության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2</w:t>
            </w:r>
            <w:r w:rsidR="00F5474B">
              <w:rPr>
                <w:rFonts w:ascii="GHEA Grapalat" w:eastAsia="Times New Roman" w:hAnsi="GHEA Grapalat"/>
                <w:i/>
                <w:sz w:val="21"/>
                <w:szCs w:val="21"/>
              </w:rPr>
              <w:t>06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F5474B">
              <w:rPr>
                <w:rFonts w:ascii="GHEA Grapalat" w:eastAsia="Times New Roman" w:hAnsi="GHEA Grapalat"/>
                <w:i/>
                <w:sz w:val="21"/>
                <w:szCs w:val="21"/>
              </w:rPr>
              <w:t>938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F5474B">
              <w:rPr>
                <w:rFonts w:ascii="GHEA Grapalat" w:eastAsia="Times New Roman" w:hAnsi="GHEA Grapalat"/>
                <w:i/>
                <w:sz w:val="21"/>
                <w:szCs w:val="21"/>
              </w:rPr>
              <w:t>930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(երկու հարյուր </w:t>
            </w:r>
            <w:r w:rsidR="00F5474B">
              <w:rPr>
                <w:rFonts w:ascii="GHEA Grapalat" w:eastAsia="Times New Roman" w:hAnsi="GHEA Grapalat"/>
                <w:i/>
                <w:sz w:val="21"/>
                <w:szCs w:val="21"/>
              </w:rPr>
              <w:t>վեց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ինն հարյուր </w:t>
            </w:r>
            <w:r w:rsidR="00F5474B">
              <w:rPr>
                <w:rFonts w:ascii="GHEA Grapalat" w:eastAsia="Times New Roman" w:hAnsi="GHEA Grapalat"/>
                <w:i/>
                <w:sz w:val="21"/>
                <w:szCs w:val="21"/>
              </w:rPr>
              <w:t>երեսունութ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հազար </w:t>
            </w:r>
            <w:r w:rsidR="00F5474B">
              <w:rPr>
                <w:rFonts w:ascii="GHEA Grapalat" w:eastAsia="Times New Roman" w:hAnsi="GHEA Grapalat"/>
                <w:i/>
                <w:sz w:val="21"/>
                <w:szCs w:val="21"/>
              </w:rPr>
              <w:t>ինն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</w:t>
            </w:r>
            <w:r w:rsidR="00F5474B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երեսուն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դրամ):  - 100%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500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 ՀՀ դրամ (հինգ հարյուր  հազար դրամ)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AD085D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3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032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89</w:t>
            </w:r>
            <w:r w:rsidR="00AE6C66">
              <w:rPr>
                <w:rFonts w:ascii="GHEA Grapalat" w:eastAsia="Times New Roman" w:hAnsi="GHEA Grapalat"/>
                <w:i/>
                <w:sz w:val="21"/>
                <w:szCs w:val="21"/>
              </w:rPr>
              <w:t>3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 w:rsidR="00323A93" w:rsidRPr="00323A93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երեք միլիոն երեսուներկու հազար ութ հարյուր իննսուներեք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AD085D">
              <w:rPr>
                <w:rFonts w:ascii="GHEA Grapalat" w:eastAsia="Times New Roman" w:hAnsi="GHEA Grapalat"/>
                <w:i/>
                <w:sz w:val="21"/>
                <w:szCs w:val="21"/>
              </w:rPr>
              <w:t>213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AD085D">
              <w:rPr>
                <w:rFonts w:ascii="GHEA Grapalat" w:eastAsia="Times New Roman" w:hAnsi="GHEA Grapalat"/>
                <w:i/>
                <w:sz w:val="21"/>
                <w:szCs w:val="21"/>
              </w:rPr>
              <w:t>15</w:t>
            </w:r>
            <w:r w:rsidR="00AE6C66">
              <w:rPr>
                <w:rFonts w:ascii="GHEA Grapalat" w:eastAsia="Times New Roman" w:hAnsi="GHEA Grapalat"/>
                <w:i/>
                <w:sz w:val="21"/>
                <w:szCs w:val="21"/>
              </w:rPr>
              <w:t>7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 w:rsidR="00323A93" w:rsidRPr="00323A9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միլիոն երկու հարյուր տասներեք հազար մեկ հարյուր հիսունյոթ 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A90A96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E877DA" w:rsidRDefault="0086794D" w:rsidP="0086794D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41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387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786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="0062078B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քառասունմեկ միլիոն երեք հարյուր ութսունյոթ հազար յոթ հարյուր ութսունվեց 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դրամ )   (2</w:t>
            </w:r>
            <w:r w:rsidR="00414BB9"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0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E877DA" w:rsidRDefault="001E52FB" w:rsidP="00BB724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62,081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679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վաթսուներկու միլիոն ութսունմեկ հազար վեց հարյուր յոթանասունինը 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դրամ )   ՄԱԶԾ( 25%),  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25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520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420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 (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քսանհինգ միլիոն հինգ հարյուր քսան հազար չորս հարյուր քսան 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 բազմաբնակարան շենքերի բնակիչների (5%)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E877DA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206,938,930 ՀՀ դրամ (երկու հարյուր վեց միլիոն ինն հարյուր երեսունութ հազար ինն հարյուր երեսուն դրամ)</w:t>
            </w:r>
            <w:r w:rsidR="00E877DA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B507CE" w:rsidP="00B507CE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6D6C7D" w:rsidRPr="00C53D11" w:rsidRDefault="006D6C7D" w:rsidP="006D6C7D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6D6C7D" w:rsidRPr="00237B68" w:rsidRDefault="006D6C7D" w:rsidP="006D6C7D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r w:rsidRPr="003B5A35">
        <w:rPr>
          <w:rFonts w:ascii="GHEA Grapalat" w:eastAsia="Times New Roman" w:hAnsi="GHEA Grapalat"/>
          <w:b/>
          <w:bCs/>
          <w:sz w:val="18"/>
          <w:szCs w:val="18"/>
        </w:rPr>
        <w:t>armanshaboyan13@gmail.com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compat/>
  <w:rsids>
    <w:rsidRoot w:val="00945157"/>
    <w:rsid w:val="00033248"/>
    <w:rsid w:val="0008454D"/>
    <w:rsid w:val="000E3C69"/>
    <w:rsid w:val="00111C6A"/>
    <w:rsid w:val="00141CE3"/>
    <w:rsid w:val="00182A3E"/>
    <w:rsid w:val="001B5FB8"/>
    <w:rsid w:val="001B7009"/>
    <w:rsid w:val="001E52FB"/>
    <w:rsid w:val="001F7FAC"/>
    <w:rsid w:val="00274066"/>
    <w:rsid w:val="002D1FA9"/>
    <w:rsid w:val="003128F4"/>
    <w:rsid w:val="00323A93"/>
    <w:rsid w:val="00376D19"/>
    <w:rsid w:val="003D2446"/>
    <w:rsid w:val="00414BB9"/>
    <w:rsid w:val="00422D2E"/>
    <w:rsid w:val="0042472C"/>
    <w:rsid w:val="00487535"/>
    <w:rsid w:val="004F5397"/>
    <w:rsid w:val="00544592"/>
    <w:rsid w:val="00570495"/>
    <w:rsid w:val="00596C61"/>
    <w:rsid w:val="00596DEC"/>
    <w:rsid w:val="005D323C"/>
    <w:rsid w:val="005D7429"/>
    <w:rsid w:val="005E53EB"/>
    <w:rsid w:val="0062078B"/>
    <w:rsid w:val="006320DE"/>
    <w:rsid w:val="00673683"/>
    <w:rsid w:val="006748DC"/>
    <w:rsid w:val="00681490"/>
    <w:rsid w:val="006C40DB"/>
    <w:rsid w:val="006D6C7D"/>
    <w:rsid w:val="006D718F"/>
    <w:rsid w:val="006E1F4C"/>
    <w:rsid w:val="00702FF8"/>
    <w:rsid w:val="00757E7F"/>
    <w:rsid w:val="00767BF4"/>
    <w:rsid w:val="00773118"/>
    <w:rsid w:val="00774F46"/>
    <w:rsid w:val="007C7B81"/>
    <w:rsid w:val="007E134A"/>
    <w:rsid w:val="008168CF"/>
    <w:rsid w:val="00855230"/>
    <w:rsid w:val="0086794D"/>
    <w:rsid w:val="00891EA3"/>
    <w:rsid w:val="0090405C"/>
    <w:rsid w:val="00945157"/>
    <w:rsid w:val="00946EA2"/>
    <w:rsid w:val="0097233F"/>
    <w:rsid w:val="00985675"/>
    <w:rsid w:val="00A01EB4"/>
    <w:rsid w:val="00A1600A"/>
    <w:rsid w:val="00A30837"/>
    <w:rsid w:val="00A341DD"/>
    <w:rsid w:val="00A37DF3"/>
    <w:rsid w:val="00A90A96"/>
    <w:rsid w:val="00A92C99"/>
    <w:rsid w:val="00AD085D"/>
    <w:rsid w:val="00AE6C66"/>
    <w:rsid w:val="00B310CB"/>
    <w:rsid w:val="00B507CE"/>
    <w:rsid w:val="00BB7245"/>
    <w:rsid w:val="00C53D11"/>
    <w:rsid w:val="00C96385"/>
    <w:rsid w:val="00CE4B84"/>
    <w:rsid w:val="00D32124"/>
    <w:rsid w:val="00DA55FE"/>
    <w:rsid w:val="00DC35D4"/>
    <w:rsid w:val="00DD43E3"/>
    <w:rsid w:val="00DF13CD"/>
    <w:rsid w:val="00E877DA"/>
    <w:rsid w:val="00E9623C"/>
    <w:rsid w:val="00E9635B"/>
    <w:rsid w:val="00EA5EA7"/>
    <w:rsid w:val="00EE3A64"/>
    <w:rsid w:val="00EE526B"/>
    <w:rsid w:val="00F4401A"/>
    <w:rsid w:val="00F5474B"/>
    <w:rsid w:val="00F711A8"/>
    <w:rsid w:val="00F9638C"/>
    <w:rsid w:val="00FD10D5"/>
    <w:rsid w:val="00FE637A"/>
    <w:rsid w:val="00FF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3CCAF-2DC0-43AD-9B0C-81323874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2122</Words>
  <Characters>12097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39</cp:revision>
  <cp:lastPrinted>2022-07-11T13:39:00Z</cp:lastPrinted>
  <dcterms:created xsi:type="dcterms:W3CDTF">2022-01-17T07:51:00Z</dcterms:created>
  <dcterms:modified xsi:type="dcterms:W3CDTF">2022-11-24T13:50:00Z</dcterms:modified>
</cp:coreProperties>
</file>